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18" w:lineRule="atLeast"/>
        <w:ind w:right="0"/>
        <w:rPr>
          <w:rFonts w:hint="default" w:ascii="Times New Roman" w:hAnsi="Times New Roman" w:cs="Times New Roman"/>
          <w:i w:val="0"/>
          <w:caps w:val="0"/>
          <w:color w:val="333333"/>
          <w:spacing w:val="0"/>
          <w:sz w:val="21"/>
          <w:szCs w:val="21"/>
        </w:rPr>
      </w:pPr>
      <w:r>
        <w:rPr>
          <w:rStyle w:val="4"/>
          <w:rFonts w:hint="default" w:ascii="Times New Roman" w:hAnsi="Times New Roman" w:cs="Times New Roman"/>
          <w:b/>
          <w:i w:val="0"/>
          <w:caps w:val="0"/>
          <w:color w:val="333333"/>
          <w:spacing w:val="0"/>
          <w:sz w:val="21"/>
          <w:szCs w:val="21"/>
          <w:bdr w:val="none" w:color="auto" w:sz="0" w:space="0"/>
          <w:shd w:val="clear" w:fill="FFFFFF"/>
        </w:rPr>
        <w:t>附件1：</w:t>
      </w:r>
    </w:p>
    <w:tbl>
      <w:tblPr>
        <w:tblW w:w="9640" w:type="dxa"/>
        <w:jc w:val="center"/>
        <w:tblInd w:w="-592"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482"/>
        <w:gridCol w:w="772"/>
        <w:gridCol w:w="867"/>
        <w:gridCol w:w="1446"/>
        <w:gridCol w:w="2313"/>
        <w:gridCol w:w="2989"/>
        <w:gridCol w:w="771"/>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rPr>
          <w:jc w:val="center"/>
        </w:trPr>
        <w:tc>
          <w:tcPr>
            <w:tcW w:w="9640" w:type="dxa"/>
            <w:gridSpan w:val="7"/>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重庆移通学院公开招聘工作人员计划一览表</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序号</w:t>
            </w:r>
          </w:p>
        </w:tc>
        <w:tc>
          <w:tcPr>
            <w:tcW w:w="772"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部门</w:t>
            </w:r>
          </w:p>
        </w:tc>
        <w:tc>
          <w:tcPr>
            <w:tcW w:w="867"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岗位</w:t>
            </w:r>
          </w:p>
        </w:tc>
        <w:tc>
          <w:tcPr>
            <w:tcW w:w="1446"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所学专业及方向</w:t>
            </w:r>
          </w:p>
        </w:tc>
        <w:tc>
          <w:tcPr>
            <w:tcW w:w="2313"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学历学位职称等要求</w:t>
            </w:r>
          </w:p>
        </w:tc>
        <w:tc>
          <w:tcPr>
            <w:tcW w:w="2989"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其他要求</w:t>
            </w:r>
          </w:p>
        </w:tc>
        <w:tc>
          <w:tcPr>
            <w:tcW w:w="771" w:type="dxa"/>
            <w:tcBorders>
              <w:top w:val="single" w:color="A0A0A0" w:sz="6" w:space="0"/>
              <w:left w:val="single" w:color="A0A0A0" w:sz="6" w:space="0"/>
              <w:bottom w:val="single" w:color="A0A0A0" w:sz="6" w:space="0"/>
              <w:right w:val="single" w:color="A0A0A0" w:sz="6" w:space="0"/>
            </w:tcBorders>
            <w:shd w:val="clear" w:color="auto" w:fill="EFEFE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Style w:val="4"/>
                <w:rFonts w:hint="default" w:ascii="Times New Roman" w:hAnsi="Times New Roman" w:cs="Times New Roman"/>
                <w:b/>
                <w:i w:val="0"/>
                <w:caps w:val="0"/>
                <w:color w:val="333333"/>
                <w:spacing w:val="0"/>
                <w:sz w:val="21"/>
                <w:szCs w:val="21"/>
                <w:bdr w:val="none" w:color="auto" w:sz="0" w:space="0"/>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教务处</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副处长</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本科及以上学历，具有普通高校副教授职称；或具有普通高校讲师职称且具有博士学位；或经学校学术委员会认定的其他系列的副教授或相应专业技术职务任职资格。</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1、年龄50岁及以下，具有5年及以上的高校教学或者教学管理经历，熟悉教育教学规律，工作业绩突出。主持制定过人才培养方案、教学大纲、课程建设方案等。创新教学活动，有一定教学研究成果。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2、具有高度的责任心、良好的职业素养和忠诚度，认同学校办学理念，具有较高的团队协作意识，处事公平公正。</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集团审计</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集团审计总监</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审计丶工程管理等相关专业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1、本科及以上学历，具备审计系列相关职称者优先；</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2、10年以上审计工作经验，或5年以上高校审计工作经验，熟悉国家、省审计法律法规、方针和政策，熟悉高校内部审计工作政策和相关业务，具有履行职责需要的业务能力和管理能力；</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3、善于学习，富有同情心；</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4、正直丶敬业，具有较强的沟通能力和领导魅力；</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5、能接受在集团下属高校之间的出差。</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岗位职责：</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1、全面主持集团下属高校的审计工作；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2、负责组织开展集团下属高校各类工程项目的审计工作；参与各高校建设、修缮管理单位对工程项目、建筑材料及设备购置的招投标工作；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3、组织对预算执行情况和资金使用情况进行审计；</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4、组织制定年度审计工作计划，并加以实施，定期组织有关人员研究制定完成审计任务的措施和办法，指导和协调审计工作的开展，检查各项计划的执行情况；</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5、根据上级部门的部署，结合集团的发展规划，围绕中心工作，制订并落实年度审计工作计划：集团各高校财务收支及有关经济活动、领导干部经济责任、建设及修缮工程项目等；</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6、主持召开处务会议，传达、布置、学习、讨论、检查、总结审计工作，审议、决定审计工作中的重大问题。</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说明：重庆翔美教育集团目前有下属高校3所：重庆移通学院（位于重庆合川区）、晋中信息学院（位于山西太谷区）、山东科技大学泰山科技学院（位于山东岱岳区）</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审计处</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审计丶工程管理等相关专业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本科及以上学历，3-5年审计工作经验，熟悉国家、省审计法律法规、方针和政策，熟悉高校内部审计工作政策和相关业务</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在上级领导指导下开展学校领域，以及学校工程建设相关审计工作</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二级学院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辅导员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中共党员（含预备党员），具有丰富的学生干部工作经验，曾任校级学生组织主要干部，对于辅导员工作有自己的想法和思考。</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大数据与软件学院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计算机教师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计算机相关专业（信息安全、大数据技术、数据处理和挖掘、数字媒体技术方向者优先）</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具备一定的实践应用和理论研究能力，能够承担计算机相关专业课程教学，积极参与课程和专业建设；具有副高及以上职称者可放宽至本科。</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6</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通信与物联网工程学院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通信教师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通信、物联网、电子信息相关专业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专业基础知识扎实，具备较强实践应用和理论研究能力，有实践经验，能够承担通信相关专业课程教学；具备通信与信息领域企业工作经验优先，中级及以上职称优先；具有副高及以上职称者可放宽至本科。</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7</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数字经济与信息管理学院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大数据管理与应用教师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大数据管理与应用、计算机、情报学、统计学、信息管理与信息系统相关专业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掌握扎实的专业基础知识，热爱教育事业，具有良好的沟通表达能力；具有大数据管理类相关工作经验优先考虑；具有大数据智能化类专业教育背景优先考虑；研究生专业方向为数据挖掘或云计算与大数据优先考虑</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8</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智能工程学院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电气工程教师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电气工程相关专业（偏强电）</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专业基础知识扎实，具备较强实践应用和理论研究能力，有实践经验，能够胜任电气工程（偏强电）相关专业课程教学，比如供配电、电力系统、电机拖动、继电保护等课程。有企业工作经验者优先。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9</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轨道交通电气与控制教师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轨道交通供电及其自动化、铁路或城轨牵引供电、铁道电气化相关专业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熟悉高电压技术、轨道牵引供电技术和接触网技术；负责轨道交通电气与控制专业相关课程教学、积极参与课程和专业建设，有实践经验或相关工作经验者优先；具有副高及以上职称者可放宽至本科。</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10</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轨道交通信号与控制教师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交通信息工程与控制</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负责轨道交通信号与控制专业相关课程教学、积极参与课程和专业建设，有实践经验或相关工作经验者优先；具有副高及以上职称者可放宽至本科。</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11</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自动控制教师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自动化等相关专业，研究方向为机器人方向者优先</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负责自动化专业相关课程教学，能够胜任自动控制原理、传感器、单片机、机器人等相关课程，积极参与课程和专业建设，有实践经验或相关工作经验者优先；具有副高及以上职称者可放宽至本科。</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12</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淬炼商学院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工商管理教师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工商管理、市场营销、财务管理等相关专业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1、能胜任《人力资源管理》、《财务管理》、《市场营销》、《组织行为学》等相关课程中至少两门专业课程的教学工作；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2、具有较强的沟通能力，文笔功底强，能够独立组织策划活动；</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3、有企业工作经验优先。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13</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工商管理/财务教师（德语教学）</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工商管理、市场营销、财务管理等相关专业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1）能胜任《人力资源管理》、《财务管理》、《市场营销》、《组织行为学》等相关课程中至少两门专业课程的德语双语教学工作。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2）为学院国际班学生提供专业指导，及时了解学生上课、作业情况及活动参与情况；</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3）协助安排组织国际商科活动，做好宣传报道工作；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4）完成学院交代的其它工作。</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14</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中德学院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双语教师（德语/英语教学）</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自动化、工商管理等相关专业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硕士研究生及以上学历，具有海外留学背景优先</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具备德语/英语教授自动化类/工商管理类专业课的能力。</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15</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艺术传媒学院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广播电视编导教师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广编相关专业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擅长摄影、摄像、演播厅节目制作，熟练掌握AE/Pr/PS等相关软件，能够承担摄影、摄像、数字调色与包装、非线性编辑等课程。</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16</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动画教师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动画相关专业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参与过动画项目的管理与制作，具有扎实的理论基础，有艺术学、戏剧与影视学等领域的研究成果，实践能力强。</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17</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数字媒体艺术教师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数媒相关专业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具有数媒专业的实践经验，热爱教学工作，团队合作意识强，擅长数字影视特效、交互设计的优先。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18</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远景学院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科学技术史教师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科学技术史等相关专业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硕士研究生及以上学历，具有海外留学背景优先</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能够承担科学技术史、生命科学史等专业相关通识课程的教学任务，并根据学院工作安排完成相关工作。</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19</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文学教师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汉语言文学、创意写作等相关专业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硕士研究生及以上学历，具有海外留学背景优先</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具有较强的适应能力和学习能力，有较高的文学理论素养，能够承担文学相关课程教学，有作品出版者优先。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20</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数学教师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数学、经济学等相关专业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硕士研究生及以上学历，具有海外留学背景优先</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能够承担数学专业相关课程的教学任务，并根据学院工作安排完成相关工作。</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21</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通识教学部</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哲学教师1</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西方哲学、伦理学、政治学、政治经济学、法理学等专业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本硕专业一致或接近，能够承担《正义论》等课程；开设学科前沿领域专题讲座，每年面向教师和学生做一场以上学术报告。</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22</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哲学教师2</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中国儒家哲学、古希腊哲学、中西方哲学比较等专业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本硕专业一致或接近，能够承担《苏格拉底、孔子所开创的世界》等课程；开设学科前沿领域专题讲座，每年面向教师和学生做一场以上学术报告。</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23</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历史教师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历史相关专业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本硕专业一致或接近，能够承担《欧洲文明的现代历程》、《美国历史》等课程，具备较强实践和理论研究能力、写作能力，能够承担历史课程的教学任务，并根据学院工作安排完成相关工作。</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24</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电影教育中心</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影评人教师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硕士研究生及以上学历，有优秀作品者可适当放宽</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具有一定的业界知名度，在知名媒体发表发表过一定数量影评文章，愿意投身电影教育事业；围绕电影教育中心培养目标开设特色课程；以个人资源提升中心品牌效应。</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25</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电影通识课教师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电影学（电影评论）、戏剧影视文学（剧作）</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硕专业一致或接近，具备较强实践和理论研究能力、写作能力，有发表作品者优先；善于策划和指导学生开展学生工作，具有成熟的大型活动创办经验；承担《从小说到电影》《经典电影赏析》等课程；参与电影教育中心教学运行和品牌建设。</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26</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钓鱼城科幻中心</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注：</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1、本中心所有岗位均要承担一定教学任务，如通识课程，另外还需要指导科幻学生社团</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2、关于本中心更多介绍请关注微博“张凡SF”，微信公众号“钓鱼城科幻”</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教师岗（小说）</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1、获得国家级科幻文学奖项者优先考虑；</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2、在国内外文学刊物上公开发表科幻文学作品或在国内外公开出版科幻作品；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3、负责科幻文学创作、科幻剧本写作，编选钓鱼城科幻丛书；开发和跟进全球华语科幻钓鱼城奖和“未来小说工坊”；</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4、具有较强的团队合作意识、组织协调沟通能力；</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5、能够用英语进行日常沟通交流；</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27</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教师岗（艺术）</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艺术、声乐、器乐、音乐、舞蹈等相关专业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1、形象好、气质佳、舞台演奏表现力强；</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2、对科幻、奇幻以及想象力有强烈兴趣，有志于科幻文学、科幻电影的编剧、教学；</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3、善于沟通及交流，与团队配合完成工作；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4、面试时要求提交作品，作品可查可见。</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28</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教师岗（电影）</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电影、编剧、编导相关专业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1、编剧要求有良好的文字功底和逻辑思维，具有专业编剧素质，可进行剧本创作或剧本改编；</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2、导演及编剧需要有作品展示，制片至少有3次以上实践经历；</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3、会影视后期PR、AR等，达芬奇调色、声音制作者优先考虑；</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4、对科幻、奇幻以及想象力有强烈兴趣，有志于科幻文学、科幻电影的编剧、教学。</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29</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教师岗（设计）</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艺术设计等相关专业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1、熟悉Photoshop、AI、Illustrator、Indesign等常用设计制作软件工具；</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2、有较强的色彩搭配能力及审美观念，有良好的手绘功底；</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3、承担科幻中心公益品牌设计工作，进行创意设计的构思及策划；</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4、负责中心对外视觉形象设计，具有扎实的理论基础，实践能力强；</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5、对科幻、奇幻以及想象力有强烈兴趣。</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30</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教师岗（策展）</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1、有策展及相关策划经验；</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2、担负钓鱼城科幻中心活动的策划及执行工作；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3、承担科幻中心公益品牌运营工作；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4、团队协作能力强，配合度高；</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5、能够用英语进行日常沟通交流；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6、对科幻、奇幻以及想象力有强烈兴趣。</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31</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教师岗（编辑）</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中文、新闻媒体相关专业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1、参与百万钓鱼城科幻大奖、未来小说工坊等图书产品的策划和编辑审稿工作；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2、负责线上、线下的图书推广及相关物料的准备工作；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3、负责科幻选题、热点和活动的采访及写作；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4、持编辑资格证优先考虑；有图书编辑出版经验者优先考虑；</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5、面试需提交已出版策划图书书单；</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6、对科幻、奇幻以及想象力有强烈兴趣。</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32</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教师岗（翻译）</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英语、意大利语、日语、韩语相关专业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硕士研究生及以上学历，有海外留学背景优先，海归博士优先</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1、语言基础扎实，了解翻译工具，如塔多思等；</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2、承担翻译工作；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3、“未来小说工坊”的跟进；</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4、全面承担科幻中心的国际化工作；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5、对科幻、奇幻以及想象力有强烈兴趣；</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6、面试前有试译测试，作品可查可见；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7、具有较强的团队合作意识、组织协调沟通能力。</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33</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教师岗（传播）</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新闻、中文、媒体、营销相关专业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硕士研究生及以上学历，特别优秀者可放宽至本科</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1、有传统媒体/新媒体/媒体拓展合作经验者优先；</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2、担负全球华语科幻钓鱼城奖组委会的文宣工作；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3、承担科幻中心公益品牌运营工作；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4、策划并制定全媒体矩阵运营策略，包括但不限于微信、抖音、微博等新媒体平台的策划、传播等活动的运营推广；</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5、具有独立工作能力，积极主动，认真负责，善于沟通，富有团队精神；</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6、对科幻、奇幻以及想象力有强烈兴趣。</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34</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数理教学部</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数学/物理教师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数学、物理相关专业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本硕专业一致，专业基础知识扎实，有教学经验者优先。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35</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思政教学部</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思政教师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思想政治教育相关专业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中共党员（含预备党员），熟悉思政相关理论知识，能够胜任《思想道德修养与法律基础》、《毛泽东思想与中国特色社会主义理论体系概论》、《中国近现代史纲要》、《马克思主义基本原理概论》等相关课程的教学工作。</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36</w:t>
            </w:r>
          </w:p>
        </w:tc>
        <w:tc>
          <w:tcPr>
            <w:tcW w:w="772" w:type="dxa"/>
            <w:vMerge w:val="restart"/>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竞技体育中心</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竞技教练</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篮球、足球、排球相关专业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年龄35岁以下，国家一级及以上运动员，全国正式比赛取得优异成绩；具备一定的专业运动经历或带队执教经验者优先。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37</w:t>
            </w:r>
          </w:p>
        </w:tc>
        <w:tc>
          <w:tcPr>
            <w:tcW w:w="772" w:type="dxa"/>
            <w:vMerge w:val="continue"/>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rPr>
                <w:rFonts w:hint="default" w:ascii="Times New Roman" w:hAnsi="Times New Roman" w:cs="Times New Roman"/>
                <w:b w:val="0"/>
                <w:i w:val="0"/>
                <w:caps w:val="0"/>
                <w:color w:val="333333"/>
                <w:spacing w:val="0"/>
                <w:sz w:val="18"/>
                <w:szCs w:val="18"/>
              </w:rPr>
            </w:pP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体育教师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体育相关专业（篮球、足球、武术等方向）</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熟悉篮球、足球、武术等相关专业知识，具备一定的实战能力，具备较好的授课能力，本科为体育相关专业，热爱教育事业。</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38</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创意写作学院</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作家岗</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硕士研究生及以上学历（有优秀作品者可适当放宽学历要求）</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1、热爱高等教育事业，具备良好的个人品质、职业道德，有团队合作精神；</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2、各个写作门类的作家，包括严肃小说、类型小说、网络小说、散文、诗歌、编剧、文学批评等；</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3、在代表性文学期刊或学术刊物上发表过重要作品，或者出版过有分量的作品，编剧要求有已经上映的作品；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4、年龄50岁以下；</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5、拥有创作经验及成果者优先。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39</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招生处</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科员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1、认真贯彻执行党的基本路线和教育方针，遵守学院各项规章制度，具有履行职责所需要的政策理论水平；</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2、较强的事业心，全心全意为学生服务的责任感和良好的职业道德，勤奋敬业，改革创新意识强，工作效率高，敢于承担责任；</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3、具有较强的沟通协作能力，适应出差；</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4、较强的网络宣传意识和与之相适应的基本技能；</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5、对广告设计拥有深刻理解及成熟风格，有很强的创意策划和组织实施能力；</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6、会平面设计，有相关经验者优先；</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7、限男性</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40</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校团委</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科员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1、全日制本科及以上学历，28周岁以下，热爱党的教育事业，中共党员（含预备党员）优先；</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2、大学期间曾担任校级学生组织主要干部，具有成熟的大型活动创办经验，善于策划校园品牌活动并指导学生开展学生工作；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3、熟悉高校共青团业务工作，胜任学生社团管理、学生会建设等相关工作；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4、乐于、善于沟通，组织协调及执行力较强，具有较强的团队意识。</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5、具有较强的文字撰写能力，对共青团网络思政新媒体平台运营有基础了解，在平面设计、视频制作、文章投稿等方面会基础运用，擅长者优先。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41</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书院部</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学生发展导师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1、中共党员，热爱党的教育事业，具有良好的政治素养和道德品质；</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2、大学期间曾担任校级学生组织主要学生干部；</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3、善于策划和指导学生开展学生工作，具有成熟的大型活动创办经验，熟悉活动策划流程，熟悉常用公文写作；</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4、乐于、善于沟通，执行力较强，具有较强的团队意识；</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5、能熟练运用office办公软件。</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42</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校办</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科员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文秘、汉语言文学、管理学类等相关专业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1、中共党员，热爱党的教育事业，具有良好的政治素养和道德品质；</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2、大学本科及以上学历，文秘、汉语言文学、管理学类等相关专业；</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3、具有较强的写作能力、学习能力和沟通能力，能熟练使用相关办公软件及设备；</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4、有责任心和敬业精神，善于组织、协调和沟通；</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5、有高校工作经历或学生会干部经验优先。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43</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学生处</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心理咨询科员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心理学相关专业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硕士研究生及以上学历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热爱教育事业，有强烈的责任心，具有良好的自我平衡能力，乐于与学生交流、接纳求助者的各类问题；获得国家二级心理咨询师资格证书优先。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44</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学生处</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宿管中心科员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1、热爱党的教育事业，中共党员（含预备党员）优先；</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2、具有良好的组织策划、人际沟通、团队合作和执行能力、纪律观念强；</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3、有较强的的文字写作功底，有团委、学生会干部经验者优先。</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45</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合川校区（工作地点：常驻合川）</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预算员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安装造价相关专业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1、具备预算员资格证；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2、能熟练计量造价，预算造价、招投标经验在5年以上；至少独立完成5个以上工程预算、结算、审计、招投标项目等，且完成的项目包括但不限于房屋建筑、环境等；</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3、年龄不超过45岁；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4、诚实正直，原则性强，有责任心、团队合作意识，敬业、执行力强。</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46</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綦江校区（工作地点：常驻綦江）</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预算员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安装造价相关专业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1、具备预算员资格证；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2、能熟练计量造价，预算造价、招投标经验在5年以上；至少独立完成5个以上工程预算、结算、审计、招投标项目等，且完成的项目包括但不限于房屋建筑、环境等；</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3、年龄不超过45岁；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4、诚实正直，原则性强，有责任心、团队合作意识，敬业、执行力强。</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47</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綦江校区（工作地点：常驻綦江）</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土建工程师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土木工程、建筑相关专业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1、协同施工单位根据合同及总体布置情况编制施工总进度计划，审查工程施工组织设计及施工方案，协助控制土建工程项目的现场施工进度，确保土建工程项目进度计划的完成；</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2、严格监督土建工程项目施工质量，参加土建工程检查验收；</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3、工作常驻地在綦江，但其他地方工作忙时也要参与并服从调配；</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4、年龄不超过45岁；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5、工作认真、吃苦耐劳，具备良好的沟通协调能力。</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48</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綦江校区（工作地点：常驻綦江）</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建筑机电工程师</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电气工程相关专业</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1、对项目施工阶段的电气施工进度、工期、质量及竣工交用前的相关工作负责。</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2、负责电气工程验收，相应技术资料整理及方案的编制，配合其它部门做好与项目相关工作等。</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3、熟悉专业图纸、方案审核、设计变更事宜，对本专业工程质量、进度、安全等各方面能进行有效管理和控制。</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4、年龄不超过45岁；</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5、工作认真、吃苦耐劳，具备良好的沟通协调能力。</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8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49</w:t>
            </w:r>
          </w:p>
        </w:tc>
        <w:tc>
          <w:tcPr>
            <w:tcW w:w="772"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綦江校区（工作地点：常驻綦江）</w:t>
            </w:r>
          </w:p>
        </w:tc>
        <w:tc>
          <w:tcPr>
            <w:tcW w:w="867"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报建员</w:t>
            </w:r>
          </w:p>
        </w:tc>
        <w:tc>
          <w:tcPr>
            <w:tcW w:w="1446"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专业不限，熟悉綦江本地相关行政部门</w:t>
            </w:r>
          </w:p>
        </w:tc>
        <w:tc>
          <w:tcPr>
            <w:tcW w:w="2313"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大学本科及以上学历</w:t>
            </w:r>
          </w:p>
        </w:tc>
        <w:tc>
          <w:tcPr>
            <w:tcW w:w="2989"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left"/>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1、根据项目开发节点，编制报批报建专项计划；</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2、收集报批、报建政策及相关信息，并整理、研究和分析，制定相应的对策；</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3、负责项目规划、方案、扩充和施工图设计各阶段的报批；</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4、负责公司外联部门公关工作，做好公共关系的建设和维护；</w:t>
            </w:r>
            <w:r>
              <w:rPr>
                <w:rFonts w:hint="default" w:ascii="Times New Roman" w:hAnsi="Times New Roman" w:cs="Times New Roman"/>
                <w:b w:val="0"/>
                <w:i w:val="0"/>
                <w:caps w:val="0"/>
                <w:color w:val="333333"/>
                <w:spacing w:val="0"/>
                <w:sz w:val="21"/>
                <w:szCs w:val="21"/>
                <w:bdr w:val="none" w:color="auto" w:sz="0" w:space="0"/>
              </w:rPr>
              <w:br w:type="textWrapping"/>
            </w:r>
            <w:r>
              <w:rPr>
                <w:rFonts w:hint="default" w:ascii="Times New Roman" w:hAnsi="Times New Roman" w:cs="Times New Roman"/>
                <w:b w:val="0"/>
                <w:i w:val="0"/>
                <w:caps w:val="0"/>
                <w:color w:val="333333"/>
                <w:spacing w:val="0"/>
                <w:sz w:val="21"/>
                <w:szCs w:val="21"/>
                <w:bdr w:val="none" w:color="auto" w:sz="0" w:space="0"/>
              </w:rPr>
              <w:t>5、3年以上行业工作经验，较强的沟通能力、人际关系处理能力</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869" w:type="dxa"/>
            <w:gridSpan w:val="6"/>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合计</w:t>
            </w:r>
          </w:p>
        </w:tc>
        <w:tc>
          <w:tcPr>
            <w:tcW w:w="771" w:type="dxa"/>
            <w:tcBorders>
              <w:top w:val="single" w:color="A0A0A0" w:sz="6" w:space="0"/>
              <w:left w:val="single" w:color="A0A0A0" w:sz="6" w:space="0"/>
              <w:bottom w:val="single" w:color="A0A0A0" w:sz="6" w:space="0"/>
              <w:right w:val="single" w:color="A0A0A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8" w:lineRule="atLeast"/>
              <w:ind w:left="0" w:right="0" w:firstLine="0"/>
              <w:jc w:val="center"/>
              <w:textAlignment w:val="center"/>
              <w:rPr>
                <w:rFonts w:hint="default" w:ascii="Times New Roman" w:hAnsi="Times New Roman" w:cs="Times New Roman"/>
                <w:b w:val="0"/>
                <w:color w:val="333333"/>
                <w:sz w:val="21"/>
                <w:szCs w:val="21"/>
              </w:rPr>
            </w:pPr>
            <w:r>
              <w:rPr>
                <w:rFonts w:hint="default" w:ascii="Times New Roman" w:hAnsi="Times New Roman" w:cs="Times New Roman"/>
                <w:b w:val="0"/>
                <w:i w:val="0"/>
                <w:caps w:val="0"/>
                <w:color w:val="333333"/>
                <w:spacing w:val="0"/>
                <w:sz w:val="21"/>
                <w:szCs w:val="21"/>
                <w:bdr w:val="none" w:color="auto" w:sz="0" w:space="0"/>
              </w:rPr>
              <w:t>122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F6D0C"/>
    <w:rsid w:val="3E0F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2021-03-01T07:43:00Z</dcterms:created>
  <dc:creator>Administrator</dc:creator>
  <cp:lastModifiedBy>Administrator</cp:lastModifiedBy>
  <dcterms:modified xsi:type="dcterms:W3CDTF">2021-03-01T07:45:19Z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